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07B2E">
      <w:pPr>
        <w:ind w:firstLine="708"/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ГОДИШЕН ДОКЛАД ЗА ДЕЙНОСТТА ЗА 20</w:t>
      </w:r>
      <w:r>
        <w:rPr>
          <w:rFonts w:hint="default" w:ascii="Georgia" w:hAnsi="Georgia" w:cs="Georgia"/>
          <w:b/>
          <w:sz w:val="24"/>
          <w:szCs w:val="24"/>
          <w:lang w:val="en-US"/>
        </w:rPr>
        <w:t>2</w:t>
      </w:r>
      <w:r>
        <w:rPr>
          <w:rFonts w:hint="default" w:ascii="Georgia" w:hAnsi="Georgia" w:cs="Georgia"/>
          <w:b/>
          <w:sz w:val="24"/>
          <w:szCs w:val="24"/>
          <w:lang w:val="bg-BG"/>
        </w:rPr>
        <w:t>5</w:t>
      </w:r>
      <w:bookmarkStart w:id="0" w:name="_GoBack"/>
      <w:bookmarkEnd w:id="0"/>
      <w:r>
        <w:rPr>
          <w:rFonts w:hint="default" w:ascii="Georgia" w:hAnsi="Georgia" w:cs="Georgia"/>
          <w:b/>
          <w:sz w:val="24"/>
          <w:szCs w:val="24"/>
          <w:lang w:val="bg-BG"/>
        </w:rPr>
        <w:t xml:space="preserve"> ГОДИНА </w:t>
      </w:r>
    </w:p>
    <w:p w14:paraId="6A701C48">
      <w:pPr>
        <w:ind w:firstLine="708"/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 xml:space="preserve"> НА ПОЛИТИЧЕСКА ПАРТИЯ СРЕДНА ЕВРОПЕЙСКА КЛАСА</w:t>
      </w:r>
    </w:p>
    <w:p w14:paraId="5F5C1410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54FD8DDA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6FBEF112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Ръководството на Политическа партия СРЕДНА ЕВРОПЕЙСКА КЛАСА представя своя годишен доклад за дейността и годишния финансов отчет за 20</w:t>
      </w:r>
      <w:r>
        <w:rPr>
          <w:rFonts w:hint="default" w:ascii="Georgia" w:hAnsi="Georgia" w:cs="Georgia"/>
          <w:sz w:val="24"/>
          <w:szCs w:val="24"/>
          <w:lang w:val="en-US"/>
        </w:rPr>
        <w:t>2</w:t>
      </w:r>
      <w:r>
        <w:rPr>
          <w:rFonts w:hint="default" w:ascii="Georgia" w:hAnsi="Georgia" w:cs="Georgia"/>
          <w:sz w:val="24"/>
          <w:szCs w:val="24"/>
          <w:lang w:val="bg-BG"/>
        </w:rPr>
        <w:t>4 година, изготвен в съответствие с Националните счетоводни стандарти (НСС).</w:t>
      </w:r>
    </w:p>
    <w:p w14:paraId="4FE6189F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461D5B6C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РЕГИСТРАЦИЯ НА ПП СРЕДНА ЕВРОПЕЙСКА КЛАСА/СЕК/</w:t>
      </w:r>
    </w:p>
    <w:p w14:paraId="69351418">
      <w:pPr>
        <w:jc w:val="both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46629079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С Решение от 1</w:t>
      </w:r>
      <w:r>
        <w:rPr>
          <w:rFonts w:hint="default" w:ascii="Georgia" w:hAnsi="Georgia" w:cs="Georgia"/>
          <w:sz w:val="24"/>
          <w:szCs w:val="24"/>
          <w:lang w:val="en-US"/>
        </w:rPr>
        <w:t>1.07.2007</w:t>
      </w:r>
      <w:r>
        <w:rPr>
          <w:rFonts w:hint="default" w:ascii="Georgia" w:hAnsi="Georgia" w:cs="Georgia"/>
          <w:sz w:val="24"/>
          <w:szCs w:val="24"/>
          <w:lang w:val="bg-BG"/>
        </w:rPr>
        <w:t xml:space="preserve"> год. на Софийски градски съд (СГС) Политическа партия СРЕДНА ЕВРОПЕЙСКА КЛАСА (СЕК) е вписана в регистъра на политическите партии при Софийски градски съд.</w:t>
      </w:r>
    </w:p>
    <w:p w14:paraId="54523606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Седалище и адрес на управление: гр. Бургас 8000, жк Братя Миладинови,бл.117,вх.1 партер.</w:t>
      </w:r>
    </w:p>
    <w:p w14:paraId="7934F614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>ПП СЕК е партия на българските граждани с избирателни права съгласно българското законодателство.</w:t>
      </w:r>
    </w:p>
    <w:p w14:paraId="209CBC5C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 xml:space="preserve">           ПП СЕК е организация, която сплотява национално отговорните българи, обединени от идеята за спасяване на България, нейното благоденствие, като поставяме националните интереси над всичко.</w:t>
      </w:r>
    </w:p>
    <w:p w14:paraId="2A36EC0A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>ПП СЕК осъществява своята дейност въз основа на Конституцията и законите на Република България.</w:t>
      </w:r>
    </w:p>
    <w:p w14:paraId="52468BA7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39CCF9BF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ОРГАНИ НА ПП СЕК СЪГЛАСНО УСТАВА</w:t>
      </w:r>
    </w:p>
    <w:p w14:paraId="4DF738B7">
      <w:pPr>
        <w:jc w:val="both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100BFE08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>Уставът на ПП СЕК е приет на Национално Събрание на партията, проведено на 19.12.2015 година,изм.от Националното събрание на партията, проведено на 16.12.2023 г. Съгласно него ръководни органи на партията са:</w:t>
      </w:r>
    </w:p>
    <w:p w14:paraId="7D3D4363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13CA3DA9">
      <w:pPr>
        <w:ind w:firstLine="708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НАЦИОНАЛНИ: Национално събрание,Председател,Изпълнителен комитет,Контролен съвет.</w:t>
      </w:r>
    </w:p>
    <w:p w14:paraId="7007B299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64B811E6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ТЕРИТОРИАЛНИ: Местни клубове,Общински/районни/организации,Областна организация.</w:t>
      </w:r>
    </w:p>
    <w:p w14:paraId="4F028A81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ОРГАНИ на Общинските/районните/организации са:Общото събрание,Общинския координатор,Общинските секретари.</w:t>
      </w:r>
    </w:p>
    <w:p w14:paraId="2D701A23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ОРГАНИ на Областните организации са: Областното събрание,Областния координатор и Областните секретари.</w:t>
      </w:r>
    </w:p>
    <w:p w14:paraId="38C4D4D4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МЕСТНИТЕ КЛУБОВЕ</w:t>
      </w:r>
    </w:p>
    <w:p w14:paraId="18EDA7BA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71BA3EF1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ОПИСАНИЕ НА ДЕЙНОСТТА</w:t>
      </w:r>
    </w:p>
    <w:p w14:paraId="20311977">
      <w:pPr>
        <w:jc w:val="both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187BA011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>От момента на учредяването си  ПП „СРЕДНА ЕВРОПЕЙСКА КЛАСА” не е  участвала   във всички избори ,проведени в страната като самостоятелна политическа сила.</w:t>
      </w:r>
    </w:p>
    <w:p w14:paraId="3A7F16A2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ab/>
      </w:r>
    </w:p>
    <w:p w14:paraId="0530F449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През 2025 година ПП СЕК не а се явявахме самостоятелно на провеждани избори, само в коалиции.</w:t>
      </w:r>
      <w:r>
        <w:rPr>
          <w:rFonts w:hint="default" w:ascii="Georgia" w:hAnsi="Georgia" w:cs="Georgia"/>
          <w:sz w:val="24"/>
          <w:szCs w:val="24"/>
          <w:lang w:val="en-US"/>
        </w:rPr>
        <w:t xml:space="preserve"> </w:t>
      </w:r>
      <w:r>
        <w:rPr>
          <w:rFonts w:hint="default" w:ascii="Georgia" w:hAnsi="Georgia" w:cs="Georgia"/>
          <w:sz w:val="24"/>
          <w:szCs w:val="24"/>
          <w:lang w:val="bg-BG"/>
        </w:rPr>
        <w:t xml:space="preserve">Партия  е взела участие в  избори в Пазарджик през м.10 2025г. .До края на 2025 година ПП СЕК продължи с изграждането на партийните си структурни  единици-  партийни организации чрез провеждането на Учредителни събрания в редица населени места и райони на България. </w:t>
      </w:r>
    </w:p>
    <w:p w14:paraId="371785C5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 xml:space="preserve"> </w:t>
      </w:r>
    </w:p>
    <w:p w14:paraId="32F8837B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ab/>
      </w:r>
    </w:p>
    <w:p w14:paraId="145222CC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3A9B8094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ПРЕГЛЕД НА ДЕЙНОСТТА</w:t>
      </w:r>
    </w:p>
    <w:p w14:paraId="54599420">
      <w:pPr>
        <w:jc w:val="center"/>
        <w:rPr>
          <w:rFonts w:hint="default" w:ascii="Georgia" w:hAnsi="Georgia" w:cs="Georgia"/>
          <w:sz w:val="24"/>
          <w:szCs w:val="24"/>
          <w:lang w:val="bg-BG"/>
        </w:rPr>
      </w:pPr>
    </w:p>
    <w:p w14:paraId="55B1ECBA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 xml:space="preserve">                 Политическата партия не е организация, създадена за осъществяване на стопанска дейност, съответно резултатите, които партията е постигнала за изминалия период са следствие от политическите идеи и принципи.</w:t>
      </w:r>
    </w:p>
    <w:p w14:paraId="1934A6E0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 xml:space="preserve">                Дейността на партията се измерва с извън парламентарна активност, политически дебати и становища,  среща с избиратели и други.</w:t>
      </w:r>
    </w:p>
    <w:p w14:paraId="3F1A0182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351E8FC5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Приходи</w:t>
      </w:r>
    </w:p>
    <w:p w14:paraId="16FFEDDC">
      <w:pPr>
        <w:jc w:val="both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5B698134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>Партията набира своите средства от членски внос,дарения и завещания,както и по всички разрешени от закона начини,включително държавна субсидия.</w:t>
      </w:r>
    </w:p>
    <w:p w14:paraId="04740438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Приходите на ПП СЕК за 2025 година  са  формирани  от :  членски внос 14000 лева и непрични дарения който са отразени както в разходната така и в приходната част в размер на 16852.20 лева</w:t>
      </w:r>
    </w:p>
    <w:p w14:paraId="6E11250B">
      <w:pPr>
        <w:ind w:firstLine="708"/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5274C538">
      <w:pPr>
        <w:ind w:firstLine="708"/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Разходи</w:t>
      </w:r>
    </w:p>
    <w:p w14:paraId="04AE6C42">
      <w:pPr>
        <w:jc w:val="both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63D9F469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>През 2025 година са извършвани  други разходи свързани с партийната дейност в размер на 17 хил.лева. Под формата на непарични дарения.</w:t>
      </w:r>
      <w:r>
        <w:rPr>
          <w:rFonts w:hint="default" w:ascii="Georgia" w:hAnsi="Georgia" w:cs="Georgia"/>
          <w:sz w:val="24"/>
          <w:szCs w:val="24"/>
          <w:lang w:val="bg-BG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>Разходите на партийните организации  се планират и извършват с решение на Общото събрание.Финансирането на общопартийни мероприятия се подпомага при възможност от общопартийния бюджет.</w:t>
      </w:r>
    </w:p>
    <w:p w14:paraId="151051A7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Пълната информация за отчетените приходи и разходи за годината, в т. ч. разшифровката им по видове е представена в годишния финансов отчет на партията.</w:t>
      </w:r>
    </w:p>
    <w:p w14:paraId="63D2233C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35AB30B0">
      <w:pPr>
        <w:ind w:left="708" w:firstLine="708"/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Структура на собствения капитал</w:t>
      </w:r>
    </w:p>
    <w:p w14:paraId="3E434CF3">
      <w:pPr>
        <w:jc w:val="both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7D148A2B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Собственият капитал на партията към 31.12.20</w:t>
      </w:r>
      <w:r>
        <w:rPr>
          <w:rFonts w:hint="default" w:ascii="Georgia" w:hAnsi="Georgia" w:cs="Georgia"/>
          <w:sz w:val="24"/>
          <w:szCs w:val="24"/>
          <w:lang w:val="en-US"/>
        </w:rPr>
        <w:t>2</w:t>
      </w:r>
      <w:r>
        <w:rPr>
          <w:rFonts w:hint="default" w:ascii="Georgia" w:hAnsi="Georgia" w:cs="Georgia"/>
          <w:sz w:val="24"/>
          <w:szCs w:val="24"/>
          <w:lang w:val="bg-BG"/>
        </w:rPr>
        <w:t xml:space="preserve">5 година е в размер на 5 хил.лв  .                   </w:t>
      </w:r>
    </w:p>
    <w:p w14:paraId="42747795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78D86569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ab/>
      </w:r>
    </w:p>
    <w:p w14:paraId="181341DA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РЪКОВОДСТВО</w:t>
      </w:r>
    </w:p>
    <w:p w14:paraId="479D90A9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1186AC3A">
      <w:pPr>
        <w:ind w:firstLine="708"/>
        <w:jc w:val="center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>Партията се представлява от:   ПРЕДСЕДАТЕЛ  НА ПП СЕК:</w:t>
      </w:r>
    </w:p>
    <w:p w14:paraId="24AA595E">
      <w:pPr>
        <w:ind w:firstLine="708"/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Константин Живков Бачийски</w:t>
      </w:r>
    </w:p>
    <w:p w14:paraId="79901FB2">
      <w:pPr>
        <w:ind w:firstLine="708"/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</w:p>
    <w:p w14:paraId="5F5B0E5D">
      <w:pPr>
        <w:jc w:val="both"/>
        <w:rPr>
          <w:rFonts w:hint="default" w:ascii="Georgia" w:hAnsi="Georgia" w:cs="Georgia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ab/>
      </w:r>
    </w:p>
    <w:p w14:paraId="022E35EE">
      <w:pPr>
        <w:jc w:val="center"/>
        <w:rPr>
          <w:rFonts w:hint="default" w:ascii="Georgia" w:hAnsi="Georgia" w:cs="Georgia"/>
          <w:b/>
          <w:sz w:val="24"/>
          <w:szCs w:val="24"/>
          <w:lang w:val="bg-BG"/>
        </w:rPr>
      </w:pPr>
      <w:r>
        <w:rPr>
          <w:rFonts w:hint="default" w:ascii="Georgia" w:hAnsi="Georgia" w:cs="Georgia"/>
          <w:b/>
          <w:sz w:val="24"/>
          <w:szCs w:val="24"/>
          <w:lang w:val="bg-BG"/>
        </w:rPr>
        <w:t>ОТГОВОРНОСТИ НА РЪКОВОДСТВОТО</w:t>
      </w:r>
    </w:p>
    <w:p w14:paraId="639A1B8F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20426DEC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 xml:space="preserve">            Ръководството на ПП СЕК  е изготвило финансовия отчет за 2025 г. в съответствие с изискванията на НСС.</w:t>
      </w:r>
    </w:p>
    <w:p w14:paraId="2D4C6993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 xml:space="preserve">Ръководството потвърждава, че прилага последователно адекватна счетоводна политика и  при изготвянето на финансовия отчет към 31 декември 2025 г. са спазени счетоводните принципи. </w:t>
      </w:r>
    </w:p>
    <w:p w14:paraId="67D2E724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4336AFC7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032F9DE8">
      <w:pPr>
        <w:ind w:firstLine="708"/>
        <w:jc w:val="both"/>
        <w:rPr>
          <w:rFonts w:hint="default" w:ascii="Georgia" w:hAnsi="Georgia" w:cs="Georgia"/>
          <w:sz w:val="24"/>
          <w:szCs w:val="24"/>
          <w:lang w:val="bg-BG"/>
        </w:rPr>
      </w:pPr>
    </w:p>
    <w:p w14:paraId="455214A0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  <w:lang w:val="bg-BG"/>
        </w:rPr>
        <w:t xml:space="preserve">                                                                                                      </w:t>
      </w:r>
      <w:r>
        <w:rPr>
          <w:rFonts w:hint="default" w:ascii="Georgia" w:hAnsi="Georgia" w:cs="Georgia"/>
          <w:sz w:val="24"/>
          <w:szCs w:val="24"/>
        </w:rPr>
        <w:t>Председател:</w:t>
      </w:r>
      <w:r>
        <w:rPr>
          <w:rFonts w:hint="default" w:ascii="Georgia" w:hAnsi="Georgia" w:cs="Georgia"/>
          <w:sz w:val="24"/>
          <w:szCs w:val="24"/>
          <w:lang w:val="bg-BG"/>
        </w:rPr>
        <w:t>..................................</w:t>
      </w:r>
    </w:p>
    <w:p w14:paraId="0CAC9B58">
      <w:pPr>
        <w:jc w:val="both"/>
        <w:rPr>
          <w:rFonts w:hint="default" w:ascii="Georgia" w:hAnsi="Georgia" w:cs="Georgia"/>
          <w:sz w:val="24"/>
          <w:szCs w:val="24"/>
        </w:rPr>
      </w:pPr>
      <w:r>
        <w:rPr>
          <w:rFonts w:hint="default" w:ascii="Georgia" w:hAnsi="Georgia" w:cs="Georgia"/>
          <w:sz w:val="24"/>
          <w:szCs w:val="24"/>
        </w:rPr>
        <w:tab/>
      </w:r>
      <w:r>
        <w:rPr>
          <w:rFonts w:hint="default" w:ascii="Georgia" w:hAnsi="Georgia" w:cs="Georgia"/>
          <w:sz w:val="24"/>
          <w:szCs w:val="24"/>
        </w:rPr>
        <w:tab/>
      </w:r>
      <w:r>
        <w:rPr>
          <w:rFonts w:hint="default" w:ascii="Georgia" w:hAnsi="Georgia" w:cs="Georgia"/>
          <w:sz w:val="24"/>
          <w:szCs w:val="24"/>
        </w:rPr>
        <w:tab/>
      </w:r>
    </w:p>
    <w:p w14:paraId="49003238">
      <w:pPr>
        <w:jc w:val="both"/>
        <w:rPr>
          <w:rFonts w:hint="default" w:ascii="Georgia" w:hAnsi="Georgia" w:cs="Georgia"/>
          <w:sz w:val="24"/>
          <w:szCs w:val="24"/>
          <w:lang w:val="bg-BG"/>
        </w:rPr>
      </w:pPr>
      <w:r>
        <w:rPr>
          <w:rFonts w:hint="default" w:ascii="Georgia" w:hAnsi="Georgia" w:cs="Georgia"/>
          <w:sz w:val="24"/>
          <w:szCs w:val="24"/>
        </w:rPr>
        <w:tab/>
      </w:r>
      <w:r>
        <w:rPr>
          <w:rFonts w:hint="default" w:ascii="Georgia" w:hAnsi="Georgia" w:cs="Georgia"/>
          <w:sz w:val="24"/>
          <w:szCs w:val="24"/>
        </w:rPr>
        <w:tab/>
      </w:r>
      <w:r>
        <w:rPr>
          <w:rFonts w:hint="default" w:ascii="Georgia" w:hAnsi="Georgia" w:cs="Georgia"/>
          <w:sz w:val="24"/>
          <w:szCs w:val="24"/>
        </w:rPr>
        <w:tab/>
      </w:r>
      <w:r>
        <w:rPr>
          <w:rFonts w:hint="default" w:ascii="Georgia" w:hAnsi="Georgia" w:cs="Georgia"/>
          <w:sz w:val="24"/>
          <w:szCs w:val="24"/>
        </w:rPr>
        <w:tab/>
      </w:r>
      <w:r>
        <w:rPr>
          <w:rFonts w:hint="default" w:ascii="Georgia" w:hAnsi="Georgia" w:cs="Georgia"/>
          <w:sz w:val="24"/>
          <w:szCs w:val="24"/>
        </w:rPr>
        <w:tab/>
      </w:r>
      <w:r>
        <w:rPr>
          <w:rFonts w:hint="default" w:ascii="Georgia" w:hAnsi="Georgia" w:cs="Georgia"/>
          <w:sz w:val="24"/>
          <w:szCs w:val="24"/>
          <w:lang w:val="bg-BG"/>
        </w:rPr>
        <w:t xml:space="preserve">                                                         (Константин Бачийски)</w:t>
      </w:r>
    </w:p>
    <w:p w14:paraId="31AFE177">
      <w:pPr>
        <w:jc w:val="both"/>
        <w:rPr>
          <w:rFonts w:hint="default" w:ascii="Georgia" w:hAnsi="Georgia" w:cs="Georgia"/>
          <w:sz w:val="24"/>
          <w:szCs w:val="24"/>
        </w:rPr>
      </w:pPr>
    </w:p>
    <w:p w14:paraId="7CD91CDA"/>
    <w:sectPr>
      <w:footerReference r:id="rId3" w:type="default"/>
      <w:pgSz w:w="11907" w:h="16840"/>
      <w:pgMar w:top="567" w:right="1287" w:bottom="567" w:left="567" w:header="709" w:footer="709" w:gutter="567"/>
      <w:paperSrc w:first="7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9DAEC">
    <w:pPr>
      <w:pStyle w:val="4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11BD8815">
    <w:pPr>
      <w:pStyle w:val="4"/>
      <w:tabs>
        <w:tab w:val="right" w:pos="8931"/>
        <w:tab w:val="clear" w:pos="4320"/>
        <w:tab w:val="clear" w:pos="8640"/>
      </w:tabs>
      <w:spacing w:before="80"/>
      <w:ind w:right="360"/>
      <w:rPr>
        <w:lang w:val="bg-BG"/>
      </w:rPr>
    </w:pPr>
    <w:r>
      <w:rPr>
        <w:lang w:val="bg-BG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B5812"/>
    <w:rsid w:val="27C75609"/>
    <w:rsid w:val="48EB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A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320"/>
        <w:tab w:val="right" w:pos="8640"/>
      </w:tabs>
    </w:pPr>
  </w:style>
  <w:style w:type="character" w:styleId="5">
    <w:name w:val="page number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2026-03-31T12:47:00Z</dcterms:created>
  <dc:creator>Радостина Госпо�</dc:creator>
  <cp:lastModifiedBy>Радостина Госпо�</cp:lastModifiedBy>
  <dcterms:modified xsi:type="dcterms:W3CDTF">2026-03-31T12:54:07Z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A7F630FB14D1415CB8FFF6047E96BDE1_11</vt:lpwstr>
  </property>
</Properties>
</file>